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</w:t>
      </w:r>
      <w:proofErr w:type="gramStart"/>
      <w:r w:rsidRPr="004717C6">
        <w:rPr>
          <w:rFonts w:ascii="標楷體" w:eastAsia="標楷體" w:hAnsi="標楷體"/>
          <w:sz w:val="40"/>
          <w:szCs w:val="40"/>
        </w:rPr>
        <w:t>卹</w:t>
      </w:r>
      <w:proofErr w:type="gramEnd"/>
      <w:r w:rsidRPr="004717C6">
        <w:rPr>
          <w:rFonts w:ascii="標楷體" w:eastAsia="標楷體" w:hAnsi="標楷體"/>
          <w:sz w:val="40"/>
          <w:szCs w:val="40"/>
        </w:rPr>
        <w:t>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</w:t>
      </w:r>
      <w:proofErr w:type="gramStart"/>
      <w:r w:rsidR="009065C5" w:rsidRPr="004717C6">
        <w:rPr>
          <w:rFonts w:ascii="標楷體" w:eastAsia="標楷體" w:hAnsi="標楷體" w:hint="eastAsia"/>
          <w:sz w:val="40"/>
          <w:szCs w:val="40"/>
        </w:rPr>
        <w:t>卹</w:t>
      </w:r>
      <w:proofErr w:type="gramEnd"/>
      <w:r w:rsidR="009065C5" w:rsidRPr="004717C6">
        <w:rPr>
          <w:rFonts w:ascii="標楷體" w:eastAsia="標楷體" w:hAnsi="標楷體" w:hint="eastAsia"/>
          <w:sz w:val="40"/>
          <w:szCs w:val="40"/>
        </w:rPr>
        <w:t>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</w:t>
      </w:r>
      <w:proofErr w:type="gramStart"/>
      <w:r w:rsidRPr="004717C6">
        <w:rPr>
          <w:rFonts w:ascii="標楷體" w:eastAsia="標楷體" w:hAnsi="標楷體" w:hint="eastAsia"/>
          <w:sz w:val="40"/>
          <w:szCs w:val="40"/>
        </w:rPr>
        <w:t>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</w:t>
      </w:r>
      <w:proofErr w:type="gramEnd"/>
      <w:r w:rsidR="00F87D89" w:rsidRPr="004717C6">
        <w:rPr>
          <w:rFonts w:ascii="標楷體" w:eastAsia="標楷體" w:hAnsi="標楷體" w:hint="eastAsia"/>
          <w:sz w:val="40"/>
          <w:szCs w:val="40"/>
        </w:rPr>
        <w:t>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</w:t>
            </w:r>
            <w:proofErr w:type="gramStart"/>
            <w:r w:rsidRPr="004717C6">
              <w:rPr>
                <w:rFonts w:ascii="標楷體" w:eastAsia="標楷體" w:hAnsi="標楷體" w:hint="eastAsia"/>
                <w:szCs w:val="24"/>
              </w:rPr>
              <w:t>卹</w:t>
            </w:r>
            <w:proofErr w:type="gramEnd"/>
            <w:r w:rsidRPr="004717C6">
              <w:rPr>
                <w:rFonts w:ascii="標楷體" w:eastAsia="標楷體" w:hAnsi="標楷體" w:hint="eastAsia"/>
                <w:szCs w:val="24"/>
              </w:rPr>
              <w:t>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proofErr w:type="gramStart"/>
      <w:r w:rsidRPr="004717C6">
        <w:rPr>
          <w:rFonts w:ascii="標楷體" w:eastAsia="標楷體" w:hAnsi="標楷體" w:hint="eastAsia"/>
          <w:szCs w:val="24"/>
        </w:rPr>
        <w:t>註</w:t>
      </w:r>
      <w:proofErr w:type="gramEnd"/>
      <w:r w:rsidRPr="004717C6">
        <w:rPr>
          <w:rFonts w:ascii="標楷體" w:eastAsia="標楷體" w:hAnsi="標楷體" w:hint="eastAsia"/>
          <w:szCs w:val="24"/>
        </w:rPr>
        <w:t>：</w:t>
      </w:r>
      <w:proofErr w:type="gramStart"/>
      <w:r w:rsidRPr="004717C6">
        <w:rPr>
          <w:rFonts w:ascii="標楷體" w:eastAsia="標楷體" w:hAnsi="標楷體" w:hint="eastAsia"/>
          <w:szCs w:val="24"/>
        </w:rPr>
        <w:t>為茲簡明</w:t>
      </w:r>
      <w:proofErr w:type="gramEnd"/>
      <w:r w:rsidRPr="004717C6">
        <w:rPr>
          <w:rFonts w:ascii="標楷體" w:eastAsia="標楷體" w:hAnsi="標楷體" w:hint="eastAsia"/>
          <w:szCs w:val="24"/>
        </w:rPr>
        <w:t>，條</w:t>
      </w:r>
      <w:proofErr w:type="gramStart"/>
      <w:r w:rsidRPr="004717C6">
        <w:rPr>
          <w:rFonts w:ascii="標楷體" w:eastAsia="標楷體" w:hAnsi="標楷體" w:hint="eastAsia"/>
          <w:szCs w:val="24"/>
        </w:rPr>
        <w:t>項款目</w:t>
      </w:r>
      <w:proofErr w:type="gramEnd"/>
      <w:r w:rsidRPr="004717C6">
        <w:rPr>
          <w:rFonts w:ascii="標楷體" w:eastAsia="標楷體" w:hAnsi="標楷體" w:hint="eastAsia"/>
          <w:szCs w:val="24"/>
        </w:rPr>
        <w:t>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DFE" w:rsidRDefault="00BF4DFE" w:rsidP="00384E30">
      <w:r>
        <w:separator/>
      </w:r>
    </w:p>
  </w:endnote>
  <w:endnote w:type="continuationSeparator" w:id="0">
    <w:p w:rsidR="00BF4DFE" w:rsidRDefault="00BF4DFE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DFE" w:rsidRDefault="00BF4DFE" w:rsidP="00384E30">
      <w:r>
        <w:separator/>
      </w:r>
    </w:p>
  </w:footnote>
  <w:footnote w:type="continuationSeparator" w:id="0">
    <w:p w:rsidR="00BF4DFE" w:rsidRDefault="00BF4DFE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BF4DFE"/>
    <w:rsid w:val="00CE3B21"/>
    <w:rsid w:val="00CF364D"/>
    <w:rsid w:val="00D020CF"/>
    <w:rsid w:val="00E301C2"/>
    <w:rsid w:val="00ED6A50"/>
    <w:rsid w:val="00F80704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2023-05-02T01:32:00Z</dcterms:created>
  <dcterms:modified xsi:type="dcterms:W3CDTF">2023-05-02T01:32:00Z</dcterms:modified>
</cp:coreProperties>
</file>